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8B5BF6" w:rsidRPr="00E330D2" w14:paraId="363BB152" w14:textId="77777777" w:rsidTr="008B5BF6">
        <w:tc>
          <w:tcPr>
            <w:tcW w:w="9640" w:type="dxa"/>
            <w:shd w:val="clear" w:color="auto" w:fill="E8E8E8" w:themeFill="background2"/>
          </w:tcPr>
          <w:p w14:paraId="0681A24A" w14:textId="77777777" w:rsidR="008B5BF6" w:rsidRPr="00E330D2" w:rsidRDefault="008B5BF6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E330D2">
              <w:rPr>
                <w:rFonts w:ascii="Verdana" w:hAnsi="Verdana"/>
                <w:b/>
                <w:bCs/>
              </w:rPr>
              <w:t>Tema</w:t>
            </w:r>
          </w:p>
        </w:tc>
      </w:tr>
      <w:tr w:rsidR="008B5BF6" w:rsidRPr="00E330D2" w14:paraId="653A1431" w14:textId="77777777" w:rsidTr="008B5BF6">
        <w:tc>
          <w:tcPr>
            <w:tcW w:w="9640" w:type="dxa"/>
          </w:tcPr>
          <w:p w14:paraId="2B0E78B9" w14:textId="77777777" w:rsidR="008B5BF6" w:rsidRPr="00E330D2" w:rsidRDefault="008B5BF6" w:rsidP="0019727B">
            <w:pPr>
              <w:jc w:val="both"/>
              <w:rPr>
                <w:rFonts w:ascii="Verdana" w:hAnsi="Verdana"/>
              </w:rPr>
            </w:pPr>
            <w:r w:rsidRPr="00964FDA">
              <w:rPr>
                <w:rFonts w:ascii="Verdana" w:hAnsi="Verdana"/>
              </w:rPr>
              <w:t>Contratación, solidaridad y representación en Uniones Temporales, buena fe contractual.</w:t>
            </w:r>
          </w:p>
        </w:tc>
      </w:tr>
      <w:tr w:rsidR="008B5BF6" w:rsidRPr="00E330D2" w14:paraId="3A580CA5" w14:textId="77777777" w:rsidTr="008B5BF6">
        <w:tc>
          <w:tcPr>
            <w:tcW w:w="9640" w:type="dxa"/>
            <w:shd w:val="clear" w:color="auto" w:fill="E8E8E8" w:themeFill="background2"/>
          </w:tcPr>
          <w:p w14:paraId="0025847B" w14:textId="77777777" w:rsidR="008B5BF6" w:rsidRPr="00E330D2" w:rsidRDefault="008B5BF6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E330D2">
              <w:rPr>
                <w:rFonts w:ascii="Verdana" w:hAnsi="Verdana"/>
                <w:b/>
                <w:bCs/>
              </w:rPr>
              <w:t>CRM</w:t>
            </w:r>
          </w:p>
        </w:tc>
      </w:tr>
      <w:tr w:rsidR="008B5BF6" w:rsidRPr="00E330D2" w14:paraId="4E02BE56" w14:textId="77777777" w:rsidTr="008B5BF6">
        <w:tc>
          <w:tcPr>
            <w:tcW w:w="9640" w:type="dxa"/>
          </w:tcPr>
          <w:p w14:paraId="5EE9E4FE" w14:textId="77777777" w:rsidR="008B5BF6" w:rsidRPr="00E330D2" w:rsidRDefault="008B5BF6" w:rsidP="0019727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51460</w:t>
            </w:r>
          </w:p>
        </w:tc>
      </w:tr>
      <w:tr w:rsidR="008B5BF6" w:rsidRPr="00E330D2" w14:paraId="4FCD7851" w14:textId="77777777" w:rsidTr="008B5BF6">
        <w:tc>
          <w:tcPr>
            <w:tcW w:w="9640" w:type="dxa"/>
            <w:shd w:val="clear" w:color="auto" w:fill="E8E8E8" w:themeFill="background2"/>
          </w:tcPr>
          <w:p w14:paraId="5A4CCFD1" w14:textId="77777777" w:rsidR="008B5BF6" w:rsidRPr="00E330D2" w:rsidRDefault="008B5BF6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E330D2">
              <w:rPr>
                <w:rFonts w:ascii="Verdana" w:hAnsi="Verdana"/>
                <w:b/>
                <w:bCs/>
              </w:rPr>
              <w:t>Problema(s) jurídico(s)</w:t>
            </w:r>
          </w:p>
        </w:tc>
      </w:tr>
      <w:tr w:rsidR="008B5BF6" w:rsidRPr="00E330D2" w14:paraId="0911B57C" w14:textId="77777777" w:rsidTr="008B5BF6">
        <w:tc>
          <w:tcPr>
            <w:tcW w:w="9640" w:type="dxa"/>
          </w:tcPr>
          <w:p w14:paraId="188D8AC7" w14:textId="77777777" w:rsidR="008B5BF6" w:rsidRPr="00E330D2" w:rsidRDefault="008B5BF6" w:rsidP="0019727B">
            <w:pPr>
              <w:jc w:val="both"/>
              <w:rPr>
                <w:rFonts w:ascii="Verdana" w:hAnsi="Verdana"/>
              </w:rPr>
            </w:pPr>
            <w:r w:rsidRPr="00460745">
              <w:rPr>
                <w:rFonts w:ascii="Verdana" w:hAnsi="Verdana"/>
              </w:rPr>
              <w:t xml:space="preserve">La </w:t>
            </w:r>
            <w:r>
              <w:rPr>
                <w:rFonts w:ascii="Verdana" w:hAnsi="Verdana"/>
              </w:rPr>
              <w:t>entidad consultante</w:t>
            </w:r>
            <w:r w:rsidRPr="00460745">
              <w:rPr>
                <w:rFonts w:ascii="Verdana" w:hAnsi="Verdana"/>
              </w:rPr>
              <w:t xml:space="preserve"> solicitó concepto jurídico frente a las consecuencias que puede tener el presunto incumplimiento de las obligaciones de uno de los integrantes de </w:t>
            </w:r>
            <w:r>
              <w:rPr>
                <w:rFonts w:ascii="Verdana" w:hAnsi="Verdana"/>
              </w:rPr>
              <w:t xml:space="preserve">una Unión Temporal </w:t>
            </w:r>
            <w:r w:rsidRPr="00460745">
              <w:rPr>
                <w:rFonts w:ascii="Verdana" w:hAnsi="Verdana"/>
              </w:rPr>
              <w:t>respecto la ejecución general de</w:t>
            </w:r>
            <w:r>
              <w:rPr>
                <w:rFonts w:ascii="Verdana" w:hAnsi="Verdana"/>
              </w:rPr>
              <w:t xml:space="preserve"> un</w:t>
            </w:r>
            <w:r w:rsidRPr="00460745">
              <w:rPr>
                <w:rFonts w:ascii="Verdana" w:hAnsi="Verdana"/>
              </w:rPr>
              <w:t xml:space="preserve"> contrato, así como su eventual incidencia en las resultas del concurso público adelantado</w:t>
            </w:r>
            <w:r w:rsidRPr="00E330D2">
              <w:rPr>
                <w:rFonts w:ascii="Verdana" w:hAnsi="Verdana"/>
              </w:rPr>
              <w:t>.</w:t>
            </w:r>
          </w:p>
        </w:tc>
      </w:tr>
      <w:tr w:rsidR="008B5BF6" w:rsidRPr="00E330D2" w14:paraId="56DE698A" w14:textId="77777777" w:rsidTr="008B5BF6">
        <w:tc>
          <w:tcPr>
            <w:tcW w:w="9640" w:type="dxa"/>
            <w:shd w:val="clear" w:color="auto" w:fill="E8E8E8" w:themeFill="background2"/>
          </w:tcPr>
          <w:p w14:paraId="076C0A93" w14:textId="77777777" w:rsidR="008B5BF6" w:rsidRPr="00E330D2" w:rsidRDefault="008B5BF6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E330D2">
              <w:rPr>
                <w:rFonts w:ascii="Verdana" w:hAnsi="Verdana"/>
                <w:b/>
                <w:bCs/>
              </w:rPr>
              <w:t>Análisis jurídico</w:t>
            </w:r>
          </w:p>
        </w:tc>
      </w:tr>
      <w:tr w:rsidR="008B5BF6" w:rsidRPr="00E330D2" w14:paraId="2098C453" w14:textId="77777777" w:rsidTr="008B5BF6">
        <w:tc>
          <w:tcPr>
            <w:tcW w:w="9640" w:type="dxa"/>
          </w:tcPr>
          <w:p w14:paraId="2D83BF8E" w14:textId="0B5B3117" w:rsidR="008B5BF6" w:rsidRDefault="008B5BF6" w:rsidP="001972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</w:t>
            </w:r>
            <w:r w:rsidRPr="00460745">
              <w:rPr>
                <w:rFonts w:ascii="Verdana" w:hAnsi="Verdana"/>
              </w:rPr>
              <w:t xml:space="preserve">ace parte de la potestad discrecional del acreedor, en este caso la </w:t>
            </w:r>
            <w:r>
              <w:rPr>
                <w:rFonts w:ascii="Verdana" w:hAnsi="Verdana"/>
              </w:rPr>
              <w:t>a</w:t>
            </w:r>
            <w:r w:rsidRPr="00460745">
              <w:rPr>
                <w:rFonts w:ascii="Verdana" w:hAnsi="Verdana"/>
              </w:rPr>
              <w:t>dministración, exigir el cumplimiento contractual por uno, varios o todos los miembros integrantes del mecanismo asociativo, quienes se constituyen en deudores solidarios en los términos de la propuesta y el contrato.</w:t>
            </w:r>
          </w:p>
          <w:p w14:paraId="32587E0F" w14:textId="77777777" w:rsidR="008B5BF6" w:rsidRDefault="008B5BF6" w:rsidP="0019727B">
            <w:pPr>
              <w:jc w:val="both"/>
              <w:rPr>
                <w:rFonts w:ascii="Verdana" w:hAnsi="Verdana"/>
              </w:rPr>
            </w:pPr>
          </w:p>
          <w:p w14:paraId="07E8C644" w14:textId="77777777" w:rsidR="008B5BF6" w:rsidRDefault="008B5BF6" w:rsidP="001972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Pr="00460745">
              <w:rPr>
                <w:rFonts w:ascii="Verdana" w:hAnsi="Verdana"/>
              </w:rPr>
              <w:t>a representación legal de las uniones temporales tiene facultades amplias para ventilar, discutir, convenir, decidir o notificarse de aquellos asuntos de índole contractual que involucren a la unión temporal.</w:t>
            </w:r>
          </w:p>
          <w:p w14:paraId="080AD6C1" w14:textId="77777777" w:rsidR="008B5BF6" w:rsidRDefault="008B5BF6" w:rsidP="0019727B">
            <w:pPr>
              <w:jc w:val="both"/>
              <w:rPr>
                <w:rFonts w:ascii="Verdana" w:hAnsi="Verdana"/>
              </w:rPr>
            </w:pPr>
          </w:p>
          <w:p w14:paraId="22DD587F" w14:textId="77777777" w:rsidR="008B5BF6" w:rsidRPr="00E330D2" w:rsidRDefault="008B5BF6" w:rsidP="001972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Pr="00460745">
              <w:rPr>
                <w:rFonts w:ascii="Verdana" w:hAnsi="Verdana"/>
              </w:rPr>
              <w:t xml:space="preserve">os particulares como colaboradores de la administración pública </w:t>
            </w:r>
            <w:r>
              <w:rPr>
                <w:rFonts w:ascii="Verdana" w:hAnsi="Verdana"/>
              </w:rPr>
              <w:t>deben</w:t>
            </w:r>
            <w:r w:rsidRPr="00460745">
              <w:rPr>
                <w:rFonts w:ascii="Verdana" w:hAnsi="Verdana"/>
              </w:rPr>
              <w:t xml:space="preserve"> honrar los compromisos contractuales, y a los integrantes de la administración pública, a tomar las medidas legal y contractualmente pactadas para garantizar el fin último de la contratación que es la prestación efectiva del servicio.</w:t>
            </w:r>
          </w:p>
        </w:tc>
      </w:tr>
      <w:tr w:rsidR="008B5BF6" w:rsidRPr="00E330D2" w14:paraId="4CCDB9C3" w14:textId="77777777" w:rsidTr="008B5BF6">
        <w:tc>
          <w:tcPr>
            <w:tcW w:w="9640" w:type="dxa"/>
            <w:shd w:val="clear" w:color="auto" w:fill="E8E8E8" w:themeFill="background2"/>
          </w:tcPr>
          <w:p w14:paraId="1FB062DF" w14:textId="77777777" w:rsidR="008B5BF6" w:rsidRPr="00E330D2" w:rsidRDefault="008B5BF6" w:rsidP="0019727B">
            <w:pPr>
              <w:jc w:val="center"/>
              <w:rPr>
                <w:rFonts w:ascii="Verdana" w:hAnsi="Verdana"/>
                <w:b/>
                <w:bCs/>
              </w:rPr>
            </w:pPr>
            <w:r w:rsidRPr="00E330D2">
              <w:rPr>
                <w:rFonts w:ascii="Verdana" w:hAnsi="Verdana"/>
                <w:b/>
                <w:bCs/>
              </w:rPr>
              <w:t>Respuesta</w:t>
            </w:r>
          </w:p>
        </w:tc>
      </w:tr>
      <w:tr w:rsidR="008B5BF6" w:rsidRPr="00E330D2" w14:paraId="3A593CD7" w14:textId="77777777" w:rsidTr="008B5BF6">
        <w:tc>
          <w:tcPr>
            <w:tcW w:w="9640" w:type="dxa"/>
          </w:tcPr>
          <w:p w14:paraId="316BD17D" w14:textId="097CEF00" w:rsidR="008B5BF6" w:rsidRDefault="008B5BF6" w:rsidP="0019727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</w:t>
            </w:r>
            <w:r w:rsidRPr="00F7014F">
              <w:rPr>
                <w:rFonts w:ascii="Verdana" w:hAnsi="Verdana"/>
              </w:rPr>
              <w:t>a omisión en la ejecución contractual, por parte de alguno de los integrantes de la unión temporal, posterior a la celebración del contrato, no tendría la virtualidad de generar vicios en la ejecución de este.</w:t>
            </w:r>
            <w:r>
              <w:rPr>
                <w:rFonts w:ascii="Verdana" w:hAnsi="Verdana"/>
              </w:rPr>
              <w:t xml:space="preserve"> </w:t>
            </w:r>
            <w:r w:rsidRPr="00F7014F">
              <w:rPr>
                <w:rFonts w:ascii="Verdana" w:hAnsi="Verdana"/>
              </w:rPr>
              <w:t>En el evento en el que el informe del supervisor cumpla los requisitos previstos en el artículo 86 de la Ley 1474 de 2011 (sobre imposición de multas, sanciones y declaratorias de incumplimiento), la entidad pública está habilitada para iniciar el procedimiento sancionatorio contractual, el cual debe adelantarse mientras la administración conserve la competencia y su facultad sancionatoria, vale decir, previo a la suscripción del acta de liquidación del contrato, o a que se profiera el acto administrativo que ordene su liquidación unilateral.</w:t>
            </w:r>
          </w:p>
          <w:p w14:paraId="1050851A" w14:textId="77777777" w:rsidR="008B5BF6" w:rsidRDefault="008B5BF6" w:rsidP="0019727B">
            <w:pPr>
              <w:jc w:val="both"/>
              <w:rPr>
                <w:rFonts w:ascii="Verdana" w:hAnsi="Verdana"/>
              </w:rPr>
            </w:pPr>
          </w:p>
          <w:p w14:paraId="6595AEA1" w14:textId="2D59433B" w:rsidR="008B5BF6" w:rsidRPr="00E330D2" w:rsidRDefault="008B5BF6" w:rsidP="008B5BF6">
            <w:pPr>
              <w:jc w:val="both"/>
              <w:rPr>
                <w:rFonts w:ascii="Verdana" w:hAnsi="Verdana"/>
              </w:rPr>
            </w:pPr>
            <w:r w:rsidRPr="00F7014F">
              <w:rPr>
                <w:rFonts w:ascii="Verdana" w:hAnsi="Verdana"/>
              </w:rPr>
              <w:t>En principio, las controversias existentes entre los miembros de la unión temporal solo a ellos les podría originar responsabilidad</w:t>
            </w:r>
            <w:r>
              <w:rPr>
                <w:rFonts w:ascii="Verdana" w:hAnsi="Verdana"/>
              </w:rPr>
              <w:t>; ello no incide en el cumplimiento del contrato, que como se dijo, debe determinarlo el supervisor</w:t>
            </w:r>
            <w:r>
              <w:rPr>
                <w:rFonts w:ascii="Verdana" w:hAnsi="Verdana"/>
              </w:rPr>
              <w:t xml:space="preserve">. </w:t>
            </w:r>
            <w:r w:rsidRPr="00F7014F">
              <w:rPr>
                <w:rFonts w:ascii="Verdana" w:hAnsi="Verdana"/>
              </w:rPr>
              <w:t>Conforme con lo previsto en el artículo 84 de la Ley 1474 de 2011, es deber de los supervisores verificar el cumplimiento de las obligaciones contractuales previo a emitir la respectiva certificación, so pena de las responsabilidades que puedan derivarse del inadecuado ejercicio de esta labor, tal como lo señala la norma.</w:t>
            </w:r>
          </w:p>
        </w:tc>
      </w:tr>
    </w:tbl>
    <w:p w14:paraId="0C7FE298" w14:textId="77777777" w:rsidR="008B5BF6" w:rsidRPr="00E330D2" w:rsidRDefault="008B5BF6" w:rsidP="008B5BF6">
      <w:pPr>
        <w:rPr>
          <w:rFonts w:ascii="Verdana" w:hAnsi="Verdana"/>
          <w:sz w:val="22"/>
          <w:szCs w:val="22"/>
        </w:rPr>
      </w:pPr>
    </w:p>
    <w:sectPr w:rsidR="008B5BF6" w:rsidRPr="00E330D2" w:rsidSect="008B5BF6">
      <w:headerReference w:type="default" r:id="rId4"/>
      <w:footerReference w:type="default" r:id="rId5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1135A397" w14:textId="77777777" w:rsidR="008B5BF6" w:rsidRDefault="008B5BF6" w:rsidP="00234E5E">
        <w:pPr>
          <w:pStyle w:val="Piedepgina"/>
          <w:jc w:val="both"/>
        </w:pPr>
        <w:r w:rsidRPr="00234E5E">
          <w:rPr>
            <w:rFonts w:ascii="Verdana" w:hAnsi="Verdana"/>
            <w:sz w:val="18"/>
            <w:szCs w:val="18"/>
            <w:lang w:val="es-ES"/>
          </w:rPr>
          <w:t>GAL-F-10 V.</w:t>
        </w:r>
        <w:r>
          <w:rPr>
            <w:rFonts w:ascii="Verdana" w:hAnsi="Verdana"/>
            <w:sz w:val="18"/>
            <w:szCs w:val="18"/>
            <w:lang w:val="es-ES"/>
          </w:rPr>
          <w:t>2</w:t>
        </w:r>
        <w:r w:rsidRPr="00234E5E">
          <w:rPr>
            <w:rFonts w:ascii="Verdana" w:hAnsi="Verdana"/>
            <w:sz w:val="18"/>
            <w:szCs w:val="18"/>
            <w:lang w:val="es-ES"/>
          </w:rPr>
          <w:t xml:space="preserve"> </w:t>
        </w:r>
        <w:r w:rsidRPr="00234E5E">
          <w:rPr>
            <w:rFonts w:ascii="Verdana" w:hAnsi="Verdana"/>
            <w:sz w:val="18"/>
            <w:szCs w:val="18"/>
            <w:lang w:val="es-ES"/>
          </w:rPr>
          <w:tab/>
        </w:r>
        <w:r w:rsidRPr="00234E5E">
          <w:rPr>
            <w:rFonts w:ascii="Verdana" w:hAnsi="Verdana"/>
            <w:sz w:val="18"/>
            <w:szCs w:val="18"/>
            <w:lang w:val="es-ES"/>
          </w:rPr>
          <w:tab/>
          <w:t xml:space="preserve">Página | </w:t>
        </w:r>
        <w:r w:rsidRPr="00234E5E">
          <w:rPr>
            <w:rFonts w:ascii="Verdana" w:hAnsi="Verdana"/>
            <w:sz w:val="18"/>
            <w:szCs w:val="18"/>
          </w:rPr>
          <w:fldChar w:fldCharType="begin"/>
        </w:r>
        <w:r w:rsidRPr="00234E5E">
          <w:rPr>
            <w:rFonts w:ascii="Verdana" w:hAnsi="Verdana"/>
            <w:sz w:val="18"/>
            <w:szCs w:val="18"/>
          </w:rPr>
          <w:instrText>PAGE   \* MERGEFORMAT</w:instrText>
        </w:r>
        <w:r w:rsidRPr="00234E5E">
          <w:rPr>
            <w:rFonts w:ascii="Verdana" w:hAnsi="Verdana"/>
            <w:sz w:val="18"/>
            <w:szCs w:val="18"/>
          </w:rPr>
          <w:fldChar w:fldCharType="separate"/>
        </w:r>
        <w:r w:rsidRPr="00234E5E">
          <w:rPr>
            <w:rFonts w:ascii="Verdana" w:hAnsi="Verdana"/>
            <w:noProof/>
            <w:sz w:val="18"/>
            <w:szCs w:val="18"/>
            <w:lang w:val="es-ES"/>
          </w:rPr>
          <w:t>1</w:t>
        </w:r>
        <w:r w:rsidRPr="00234E5E">
          <w:rPr>
            <w:rFonts w:ascii="Verdana" w:hAnsi="Verdana"/>
            <w:sz w:val="18"/>
            <w:szCs w:val="18"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51D193CC" w14:textId="77777777" w:rsidR="008B5BF6" w:rsidRPr="00D34D20" w:rsidRDefault="008B5BF6" w:rsidP="00D34D20">
    <w:pPr>
      <w:spacing w:line="276" w:lineRule="auto"/>
      <w:jc w:val="both"/>
      <w:rPr>
        <w:rFonts w:ascii="Helvetica" w:hAnsi="Helvetic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5B7E" w14:textId="77777777" w:rsidR="008B5BF6" w:rsidRDefault="008B5BF6">
    <w:pPr>
      <w:pStyle w:val="Encabezado"/>
    </w:pPr>
    <w:r>
      <w:rPr>
        <w:noProof/>
        <w14:ligatures w14:val="standardContextual"/>
      </w:rPr>
      <w:drawing>
        <wp:inline distT="0" distB="0" distL="0" distR="0" wp14:anchorId="73130FC5" wp14:editId="3D50DEFE">
          <wp:extent cx="1657350" cy="951230"/>
          <wp:effectExtent l="0" t="0" r="0" b="1270"/>
          <wp:docPr id="81448763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87639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>
      <w:rPr>
        <w:rFonts w:ascii="Verdana" w:hAnsi="Verdana"/>
        <w:noProof/>
        <w:sz w:val="14"/>
        <w:szCs w:val="14"/>
        <w:lang w:val="es-ES"/>
      </w:rPr>
      <w:drawing>
        <wp:inline distT="0" distB="0" distL="0" distR="0" wp14:anchorId="62879BCD" wp14:editId="0770E609">
          <wp:extent cx="798645" cy="713294"/>
          <wp:effectExtent l="0" t="0" r="0" b="0"/>
          <wp:docPr id="214306616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66162" name="Imagen 2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8645" cy="71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F6"/>
    <w:rsid w:val="00045689"/>
    <w:rsid w:val="006563FE"/>
    <w:rsid w:val="006A1B54"/>
    <w:rsid w:val="008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07EF"/>
  <w15:chartTrackingRefBased/>
  <w15:docId w15:val="{A459881D-484C-4827-9C5E-C4E64F5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F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5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B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B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B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B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B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B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B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B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B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B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B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B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B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B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B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5B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B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5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B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B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5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BF6"/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BF6"/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table" w:styleId="Tablaconcuadrcula">
    <w:name w:val="Table Grid"/>
    <w:basedOn w:val="Tablanormal"/>
    <w:uiPriority w:val="39"/>
    <w:rsid w:val="008B5BF6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6D347BCF97140903BBEF79300E891" ma:contentTypeVersion="7" ma:contentTypeDescription="Crear nuevo documento." ma:contentTypeScope="" ma:versionID="b6ae9701c65d9de98894af30d43beb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644806e754d36b6067b92b8b614ca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E0EDEFA-E61E-43BC-8BC7-7EF4C2EBE44A}"/>
</file>

<file path=customXml/itemProps2.xml><?xml version="1.0" encoding="utf-8"?>
<ds:datastoreItem xmlns:ds="http://schemas.openxmlformats.org/officeDocument/2006/customXml" ds:itemID="{1D0927F4-89E2-4349-9F7F-335206737F54}"/>
</file>

<file path=customXml/itemProps3.xml><?xml version="1.0" encoding="utf-8"?>
<ds:datastoreItem xmlns:ds="http://schemas.openxmlformats.org/officeDocument/2006/customXml" ds:itemID="{8EB1F701-1D3D-468F-A8D6-3977B660E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Yomaira.Espinosa@defensajuridica.gov.co</dc:creator>
  <cp:keywords/>
  <dc:description/>
  <cp:lastModifiedBy>Daniel Alberto Realpe Mejia</cp:lastModifiedBy>
  <cp:revision>1</cp:revision>
  <dcterms:created xsi:type="dcterms:W3CDTF">2025-11-26T15:05:00Z</dcterms:created>
  <dcterms:modified xsi:type="dcterms:W3CDTF">2025-11-26T15:13:00Z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0x0101006056D347BCF97140903BBEF79300E891</vt:lpwstr>
  </property>
</Properties>
</file>